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975E8">
      <w:pPr>
        <w:spacing w:before="280" w:after="28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noProof/>
          <w:kern w:val="1"/>
          <w:sz w:val="36"/>
          <w:szCs w:val="36"/>
          <w:lang w:eastAsia="ru-RU"/>
        </w:rPr>
        <w:drawing>
          <wp:anchor distT="0" distB="0" distL="114300" distR="114935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98930" cy="1066165"/>
            <wp:effectExtent l="19050" t="0" r="1270" b="0"/>
            <wp:wrapTight wrapText="bothSides">
              <wp:wrapPolygon edited="0">
                <wp:start x="-257" y="0"/>
                <wp:lineTo x="-257" y="21227"/>
                <wp:lineTo x="21617" y="21227"/>
                <wp:lineTo x="21617" y="0"/>
                <wp:lineTo x="-257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06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EF4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ru-RU"/>
        </w:rPr>
        <w:t>Электронная трудовая книжка (ЭТК)</w:t>
      </w:r>
    </w:p>
    <w:p w:rsidR="00000000" w:rsidRDefault="005C4EF4"/>
    <w:p w:rsidR="00000000" w:rsidRDefault="005C4EF4">
      <w:pPr>
        <w:rPr>
          <w:sz w:val="20"/>
          <w:szCs w:val="20"/>
        </w:rPr>
      </w:pPr>
    </w:p>
    <w:p w:rsidR="00000000" w:rsidRDefault="005C4EF4">
      <w:pPr>
        <w:ind w:firstLine="708"/>
        <w:jc w:val="both"/>
      </w:pPr>
      <w:r>
        <w:rPr>
          <w:rStyle w:val="Strong"/>
          <w:sz w:val="20"/>
          <w:szCs w:val="20"/>
        </w:rPr>
        <w:t>С 2020 года в России планируется ввести электронную трудовую книжку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</w:t>
      </w:r>
      <w:r>
        <w:rPr>
          <w:rStyle w:val="Strong"/>
          <w:sz w:val="20"/>
          <w:szCs w:val="20"/>
        </w:rPr>
        <w:t>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</w:p>
    <w:p w:rsidR="00000000" w:rsidRDefault="008975E8">
      <w:pPr>
        <w:jc w:val="center"/>
        <w:rPr>
          <w:rStyle w:val="Strong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47116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4EF4">
      <w:pPr>
        <w:pStyle w:val="NormalWeb"/>
        <w:spacing w:before="0" w:after="0"/>
        <w:ind w:firstLine="709"/>
        <w:jc w:val="both"/>
      </w:pPr>
      <w:r>
        <w:rPr>
          <w:rStyle w:val="Strong"/>
          <w:sz w:val="20"/>
          <w:szCs w:val="20"/>
        </w:rPr>
        <w:t>Электронная трудовая книжка не предп</w:t>
      </w:r>
      <w:r>
        <w:rPr>
          <w:rStyle w:val="Strong"/>
          <w:sz w:val="20"/>
          <w:szCs w:val="20"/>
        </w:rPr>
        <w:t>олагает физического носителя и будет реализована только в цифровом формате. Просмотреть сведения электронной  книжки можно будет в личном кабинете на сайте Пенсионного фонда России или на пор</w:t>
      </w:r>
      <w:bookmarkStart w:id="0" w:name="_GoBack"/>
      <w:bookmarkEnd w:id="0"/>
      <w:r>
        <w:rPr>
          <w:rStyle w:val="Strong"/>
          <w:sz w:val="20"/>
          <w:szCs w:val="20"/>
        </w:rPr>
        <w:t>тале Госуслуг, а также через соответствующие приложения для смарт</w:t>
      </w:r>
      <w:r>
        <w:rPr>
          <w:rStyle w:val="Strong"/>
          <w:sz w:val="20"/>
          <w:szCs w:val="20"/>
        </w:rPr>
        <w:t>фонов.</w:t>
      </w:r>
    </w:p>
    <w:p w:rsidR="00000000" w:rsidRDefault="005C4EF4">
      <w:pPr>
        <w:pStyle w:val="NormalWeb"/>
        <w:spacing w:before="0" w:after="0"/>
        <w:ind w:firstLine="709"/>
        <w:jc w:val="both"/>
      </w:pPr>
      <w:r>
        <w:rPr>
          <w:rStyle w:val="Strong"/>
          <w:sz w:val="20"/>
          <w:szCs w:val="20"/>
        </w:rPr>
        <w:t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</w:t>
      </w:r>
      <w:r>
        <w:rPr>
          <w:rStyle w:val="Strong"/>
          <w:sz w:val="20"/>
          <w:szCs w:val="20"/>
        </w:rPr>
        <w:t>альный центр госуслуг (МФЦ). Услуга предоставляется экстерриториально, без привязки к месту жительства или работы человека.</w:t>
      </w:r>
    </w:p>
    <w:p w:rsidR="00000000" w:rsidRDefault="005C4EF4">
      <w:pPr>
        <w:pStyle w:val="2"/>
      </w:pPr>
      <w:r>
        <w:rPr>
          <w:sz w:val="20"/>
          <w:szCs w:val="20"/>
        </w:rPr>
        <w:t>Преимущества электронной трудовой книжки</w:t>
      </w:r>
    </w:p>
    <w:p w:rsidR="00000000" w:rsidRDefault="005C4EF4">
      <w:pPr>
        <w:numPr>
          <w:ilvl w:val="0"/>
          <w:numId w:val="1"/>
        </w:numPr>
        <w:spacing w:before="280" w:after="0" w:line="240" w:lineRule="auto"/>
        <w:jc w:val="both"/>
      </w:pPr>
      <w:r>
        <w:rPr>
          <w:sz w:val="20"/>
          <w:szCs w:val="20"/>
        </w:rPr>
        <w:t>Удобный и быстрый доступ работников к информации о трудовой деятельности.</w:t>
      </w:r>
    </w:p>
    <w:p w:rsidR="00000000" w:rsidRDefault="005C4EF4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Минимизация ошибо</w:t>
      </w:r>
      <w:r>
        <w:rPr>
          <w:sz w:val="20"/>
          <w:szCs w:val="20"/>
        </w:rPr>
        <w:t>чных, неточных и недостоверных сведений о трудовой деятельности.</w:t>
      </w:r>
    </w:p>
    <w:p w:rsidR="00000000" w:rsidRDefault="005C4EF4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Дополнительные возможности дистанционного трудоустройства.</w:t>
      </w:r>
    </w:p>
    <w:p w:rsidR="00000000" w:rsidRDefault="005C4EF4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Снижение издержек работодателей на приобретение, ведение и хранение бумажных трудовых книжек.</w:t>
      </w:r>
    </w:p>
    <w:p w:rsidR="00000000" w:rsidRDefault="005C4EF4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Дистанционное оформление пенсий по дан</w:t>
      </w:r>
      <w:r>
        <w:rPr>
          <w:sz w:val="20"/>
          <w:szCs w:val="20"/>
        </w:rPr>
        <w:t>ным лицевого счета без дополнительного документального подтверждения.</w:t>
      </w:r>
    </w:p>
    <w:p w:rsidR="00000000" w:rsidRDefault="005C4EF4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Использование данных электронной трудовой книжки для получения государственных услуг.</w:t>
      </w:r>
    </w:p>
    <w:p w:rsidR="00000000" w:rsidRDefault="005C4EF4">
      <w:pPr>
        <w:numPr>
          <w:ilvl w:val="0"/>
          <w:numId w:val="1"/>
        </w:numPr>
        <w:spacing w:after="0" w:line="240" w:lineRule="auto"/>
        <w:jc w:val="both"/>
      </w:pPr>
      <w:r>
        <w:rPr>
          <w:sz w:val="20"/>
          <w:szCs w:val="20"/>
        </w:rPr>
        <w:t>Новые возможности аналитической обработки данных о трудовой деятельности для работодателей и госорга</w:t>
      </w:r>
      <w:r>
        <w:rPr>
          <w:sz w:val="20"/>
          <w:szCs w:val="20"/>
        </w:rPr>
        <w:t>нов.</w:t>
      </w:r>
    </w:p>
    <w:p w:rsidR="00000000" w:rsidRDefault="005C4EF4">
      <w:pPr>
        <w:numPr>
          <w:ilvl w:val="0"/>
          <w:numId w:val="1"/>
        </w:numPr>
        <w:spacing w:after="280" w:line="240" w:lineRule="auto"/>
        <w:jc w:val="both"/>
      </w:pPr>
      <w:r>
        <w:rPr>
          <w:sz w:val="20"/>
          <w:szCs w:val="20"/>
        </w:rPr>
        <w:t>Высокий уровень безопасности и сохранности данных.</w:t>
      </w:r>
    </w:p>
    <w:p w:rsidR="00000000" w:rsidRDefault="005C4EF4">
      <w:pPr>
        <w:pStyle w:val="2"/>
      </w:pPr>
      <w:r>
        <w:rPr>
          <w:sz w:val="20"/>
          <w:szCs w:val="20"/>
        </w:rPr>
        <w:t>Переход на электронные трудовые книжки</w:t>
      </w:r>
    </w:p>
    <w:p w:rsidR="00000000" w:rsidRDefault="005C4EF4">
      <w:pPr>
        <w:pStyle w:val="NormalWeb"/>
        <w:spacing w:before="0" w:after="0"/>
        <w:ind w:firstLine="709"/>
        <w:jc w:val="both"/>
      </w:pPr>
      <w:r>
        <w:rPr>
          <w:sz w:val="20"/>
          <w:szCs w:val="20"/>
        </w:rPr>
        <w:t>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</w:t>
      </w:r>
      <w:r>
        <w:rPr>
          <w:sz w:val="20"/>
          <w:szCs w:val="20"/>
        </w:rPr>
        <w:t>ти добровольный и будет осуществляться только с согласия человека.</w:t>
      </w:r>
    </w:p>
    <w:p w:rsidR="00000000" w:rsidRDefault="005C4EF4">
      <w:pPr>
        <w:pStyle w:val="NormalWeb"/>
        <w:spacing w:before="0" w:after="0"/>
        <w:ind w:firstLine="709"/>
        <w:jc w:val="both"/>
      </w:pPr>
      <w:r>
        <w:rPr>
          <w:sz w:val="20"/>
          <w:szCs w:val="20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</w:t>
      </w:r>
      <w:r>
        <w:rPr>
          <w:sz w:val="20"/>
          <w:szCs w:val="20"/>
        </w:rPr>
        <w:t>ия бумажной трудовой книжки.</w:t>
      </w:r>
    </w:p>
    <w:p w:rsidR="00000000" w:rsidRDefault="005C4EF4">
      <w:pPr>
        <w:pStyle w:val="NormalWeb"/>
        <w:spacing w:before="0" w:after="0"/>
        <w:ind w:firstLine="709"/>
        <w:jc w:val="both"/>
      </w:pPr>
      <w:r>
        <w:rPr>
          <w:sz w:val="20"/>
          <w:szCs w:val="20"/>
        </w:rPr>
        <w:lastRenderedPageBreak/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</w:t>
      </w:r>
      <w:r>
        <w:rPr>
          <w:sz w:val="20"/>
          <w:szCs w:val="20"/>
        </w:rPr>
        <w:t>ой деятельности также в бумажную версию.</w:t>
      </w:r>
    </w:p>
    <w:p w:rsidR="00000000" w:rsidRDefault="005C4EF4">
      <w:pPr>
        <w:pStyle w:val="NormalWeb"/>
        <w:spacing w:before="0" w:after="0"/>
        <w:ind w:firstLine="709"/>
        <w:jc w:val="both"/>
      </w:pPr>
      <w:r>
        <w:rPr>
          <w:sz w:val="20"/>
          <w:szCs w:val="20"/>
        </w:rPr>
        <w:t>Россияне, которые до конца 2020 года не подадут заявление работодателю о сохранении бумажной трудовой книжки, получат ее на руки. Сведения об их трудовой деятельности начиная с 2021 года будут формироваться только в</w:t>
      </w:r>
      <w:r>
        <w:rPr>
          <w:sz w:val="20"/>
          <w:szCs w:val="20"/>
        </w:rPr>
        <w:t> цифровом формате.</w:t>
      </w:r>
    </w:p>
    <w:p w:rsidR="00000000" w:rsidRDefault="005C4EF4">
      <w:pPr>
        <w:pStyle w:val="NormalWeb"/>
        <w:spacing w:before="0" w:after="0"/>
        <w:ind w:firstLine="709"/>
        <w:jc w:val="both"/>
        <w:rPr>
          <w:sz w:val="20"/>
          <w:szCs w:val="20"/>
        </w:rPr>
      </w:pPr>
    </w:p>
    <w:p w:rsidR="00000000" w:rsidRDefault="008975E8">
      <w:pPr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131820" cy="323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23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C4EF4">
      <w:pPr>
        <w:pStyle w:val="2"/>
      </w:pPr>
      <w:r>
        <w:rPr>
          <w:sz w:val="20"/>
          <w:szCs w:val="20"/>
        </w:rPr>
        <w:t>Перечень сведений электронной трудовой книжки</w:t>
      </w:r>
    </w:p>
    <w:p w:rsidR="00000000" w:rsidRDefault="005C4EF4">
      <w:pPr>
        <w:pStyle w:val="NormalWeb"/>
      </w:pPr>
      <w:r>
        <w:rPr>
          <w:sz w:val="20"/>
          <w:szCs w:val="20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000000" w:rsidRDefault="005C4EF4">
      <w:pPr>
        <w:numPr>
          <w:ilvl w:val="0"/>
          <w:numId w:val="2"/>
        </w:numPr>
        <w:spacing w:before="280" w:after="0" w:line="240" w:lineRule="auto"/>
      </w:pPr>
      <w:r>
        <w:rPr>
          <w:sz w:val="20"/>
          <w:szCs w:val="20"/>
        </w:rPr>
        <w:t>Место работы.</w:t>
      </w:r>
    </w:p>
    <w:p w:rsidR="00000000" w:rsidRDefault="005C4EF4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Периоды работы.</w:t>
      </w:r>
    </w:p>
    <w:p w:rsidR="00000000" w:rsidRDefault="005C4EF4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Должность (специальность, профессия)</w:t>
      </w:r>
      <w:r>
        <w:rPr>
          <w:sz w:val="20"/>
          <w:szCs w:val="20"/>
        </w:rPr>
        <w:t>.</w:t>
      </w:r>
    </w:p>
    <w:p w:rsidR="00000000" w:rsidRDefault="005C4EF4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Квалификация (разряд, класс, категория, уровень квалификации).</w:t>
      </w:r>
    </w:p>
    <w:p w:rsidR="00000000" w:rsidRDefault="005C4EF4">
      <w:pPr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Даты приема, увольнения, перевода на другую работу.</w:t>
      </w:r>
    </w:p>
    <w:p w:rsidR="00000000" w:rsidRDefault="005C4EF4">
      <w:pPr>
        <w:numPr>
          <w:ilvl w:val="0"/>
          <w:numId w:val="2"/>
        </w:numPr>
        <w:spacing w:after="280" w:line="240" w:lineRule="auto"/>
      </w:pPr>
      <w:r>
        <w:rPr>
          <w:sz w:val="20"/>
          <w:szCs w:val="20"/>
        </w:rPr>
        <w:t>Основания прекращения трудового договора.</w:t>
      </w:r>
    </w:p>
    <w:p w:rsidR="00000000" w:rsidRDefault="005C4EF4">
      <w:pPr>
        <w:pStyle w:val="2"/>
      </w:pPr>
      <w:r>
        <w:rPr>
          <w:sz w:val="20"/>
          <w:szCs w:val="20"/>
        </w:rPr>
        <w:t>Работодателям об электронной трудовой книжке</w:t>
      </w:r>
    </w:p>
    <w:p w:rsidR="00000000" w:rsidRDefault="005C4EF4">
      <w:pPr>
        <w:pStyle w:val="NormalWeb"/>
        <w:spacing w:before="0" w:after="0"/>
        <w:ind w:firstLine="709"/>
        <w:jc w:val="both"/>
      </w:pPr>
      <w:r>
        <w:rPr>
          <w:sz w:val="20"/>
          <w:szCs w:val="20"/>
        </w:rPr>
        <w:t>С 1 января 2020 года вводится обязанность для работо</w:t>
      </w:r>
      <w:r>
        <w:rPr>
          <w:sz w:val="20"/>
          <w:szCs w:val="20"/>
        </w:rPr>
        <w:t>дателей ежемесячно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</w:p>
    <w:p w:rsidR="00000000" w:rsidRDefault="005C4EF4">
      <w:pPr>
        <w:pStyle w:val="NormalWeb"/>
        <w:spacing w:before="0" w:after="0"/>
        <w:ind w:firstLine="709"/>
        <w:jc w:val="both"/>
      </w:pPr>
      <w:r>
        <w:rPr>
          <w:sz w:val="20"/>
          <w:szCs w:val="20"/>
        </w:rPr>
        <w:t>Передача сведений будет реализована в рамках существующего формата взаимодействия компаний</w:t>
      </w:r>
      <w:r>
        <w:rPr>
          <w:sz w:val="20"/>
          <w:szCs w:val="20"/>
        </w:rPr>
        <w:t xml:space="preserve"> с территориальными органами Пенсионного фонда.</w:t>
      </w:r>
    </w:p>
    <w:p w:rsidR="00000000" w:rsidRDefault="005C4EF4">
      <w:pPr>
        <w:pStyle w:val="NormalWeb"/>
        <w:spacing w:before="0" w:after="0"/>
        <w:ind w:firstLine="709"/>
        <w:jc w:val="both"/>
      </w:pPr>
      <w:r>
        <w:rPr>
          <w:sz w:val="20"/>
          <w:szCs w:val="20"/>
        </w:rPr>
        <w:t>В связи с введением электронных трудовых книжек работодателям надлежит письменно проинформировать работников о соответствующих изменениях в трудовом законодательстве и праве работников сохранить бумажную труд</w:t>
      </w:r>
      <w:r>
        <w:rPr>
          <w:sz w:val="20"/>
          <w:szCs w:val="20"/>
        </w:rPr>
        <w:t>овую книжку.</w:t>
      </w:r>
    </w:p>
    <w:p w:rsidR="00000000" w:rsidRDefault="005C4EF4">
      <w:pPr>
        <w:pStyle w:val="NormalWeb"/>
        <w:spacing w:before="0" w:after="0"/>
        <w:ind w:firstLine="709"/>
        <w:jc w:val="both"/>
      </w:pPr>
      <w:r>
        <w:rPr>
          <w:sz w:val="20"/>
          <w:szCs w:val="20"/>
        </w:rPr>
        <w:t>При необходимости работодателям также предстоит провести работу по изменению локальных нормативных актов, регламентирующих деятельность организации, внести изменения в соглашения и коллективные договоры.</w:t>
      </w:r>
    </w:p>
    <w:p w:rsidR="00000000" w:rsidRDefault="005C4EF4">
      <w:pPr>
        <w:pStyle w:val="NormalWeb"/>
        <w:spacing w:before="0" w:after="0"/>
        <w:ind w:firstLine="709"/>
        <w:jc w:val="both"/>
      </w:pPr>
      <w:r>
        <w:rPr>
          <w:sz w:val="20"/>
          <w:szCs w:val="20"/>
        </w:rPr>
        <w:t xml:space="preserve">Начиная с 1 января 2021 года в случаях </w:t>
      </w:r>
      <w:r>
        <w:rPr>
          <w:sz w:val="20"/>
          <w:szCs w:val="20"/>
        </w:rPr>
        <w:t>приема на работу или увольнения сведения о трудовой деятельности должны будут представляться организацией-работодателем в Пенсионный фонд не позднее рабочего дня, следующего за днем издания документа, являющегося основанием для приема на работу или увольне</w:t>
      </w:r>
      <w:r>
        <w:rPr>
          <w:sz w:val="20"/>
          <w:szCs w:val="20"/>
        </w:rPr>
        <w:t>ния.</w:t>
      </w:r>
    </w:p>
    <w:p w:rsidR="005C4EF4" w:rsidRDefault="005C4EF4"/>
    <w:sectPr w:rsidR="005C4EF4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75E8"/>
    <w:rsid w:val="005C4EF4"/>
    <w:rsid w:val="0089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86"/>
      <w:sz w:val="22"/>
      <w:szCs w:val="22"/>
      <w:lang w:eastAsia="en-US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paragraph" w:styleId="2">
    <w:name w:val="heading 2"/>
    <w:basedOn w:val="a"/>
    <w:qFormat/>
    <w:pPr>
      <w:keepNext/>
      <w:keepLines/>
      <w:spacing w:before="200" w:after="0"/>
      <w:outlineLvl w:val="1"/>
    </w:pPr>
    <w:rPr>
      <w:rFonts w:ascii="Cambria" w:eastAsia="font286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  <w:lang w:eastAsia="ru-RU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20">
    <w:name w:val="Заголовок 2 Знак"/>
    <w:basedOn w:val="DefaultParagraphFont"/>
    <w:rPr>
      <w:rFonts w:ascii="Cambria" w:eastAsia="font286" w:hAnsi="Cambria" w:cs="font286"/>
      <w:b/>
      <w:bCs/>
      <w:color w:val="4F81BD"/>
      <w:sz w:val="26"/>
      <w:szCs w:val="26"/>
    </w:rPr>
  </w:style>
  <w:style w:type="character" w:styleId="a3">
    <w:name w:val="Hyperlink"/>
    <w:basedOn w:val="DefaultParagraphFont"/>
    <w:rPr>
      <w:color w:val="0000FF"/>
      <w:u w:val="single"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Обиход Владимир Анатольевич</dc:creator>
  <cp:lastModifiedBy>Пользователь Windows</cp:lastModifiedBy>
  <cp:revision>2</cp:revision>
  <cp:lastPrinted>2019-10-16T09:15:00Z</cp:lastPrinted>
  <dcterms:created xsi:type="dcterms:W3CDTF">2019-11-06T08:08:00Z</dcterms:created>
  <dcterms:modified xsi:type="dcterms:W3CDTF">2019-11-06T08:08:00Z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OPFR po KRD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